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f7ea3"/>
          <w:spacing w:val="20"/>
          <w:sz w:val="16"/>
          <w:szCs w:val="16"/>
        </w:rPr>
        <w:t xml:space="preserve">CONTINUITY STARTER WORKSHEET 1 OF 4</w:t>
      </w:r>
    </w:p>
    <w:p>
      <w:pPr>
        <w:spacing w:after="120"/>
      </w:pPr>
      <w:r>
        <w:rPr>
          <w:rFonts w:ascii="Arial" w:cs="Arial" w:eastAsia="Arial" w:hAnsi="Arial"/>
          <w:b/>
          <w:bCs/>
          <w:color w:val="1e3a5f"/>
          <w:sz w:val="40"/>
          <w:szCs w:val="40"/>
        </w:rPr>
        <w:t xml:space="preserve">What Can’t Stop</w:t>
      </w:r>
    </w:p>
    <w:p>
      <w:pPr>
        <w:spacing w:after="160"/>
      </w:pPr>
      <w:r>
        <w:rPr>
          <w:rFonts w:ascii="Arial" w:cs="Arial" w:eastAsia="Arial" w:hAnsi="Arial"/>
          <w:b/>
          <w:bCs/>
          <w:color w:val="374151"/>
          <w:sz w:val="20"/>
          <w:szCs w:val="20"/>
        </w:rPr>
        <w:t xml:space="preserve">Time: </w:t>
      </w:r>
      <w:r>
        <w:rPr>
          <w:rFonts w:ascii="Arial" w:cs="Arial" w:eastAsia="Arial" w:hAnsi="Arial"/>
          <w:color w:val="374151"/>
          <w:sz w:val="20"/>
          <w:szCs w:val="20"/>
        </w:rPr>
        <w:t xml:space="preserve">About 20 minutes</w:t>
      </w:r>
      <w:r>
        <w:rPr>
          <w:rFonts w:ascii="Arial" w:cs="Arial" w:eastAsia="Arial" w:hAnsi="Arial"/>
          <w:b/>
          <w:bCs/>
          <w:color w:val="374151"/>
          <w:sz w:val="20"/>
          <w:szCs w:val="20"/>
        </w:rPr>
        <w:t xml:space="preserve">     Who to involve: </w:t>
      </w:r>
      <w:r>
        <w:rPr>
          <w:rFonts w:ascii="Arial" w:cs="Arial" w:eastAsia="Arial" w:hAnsi="Arial"/>
          <w:color w:val="374151"/>
          <w:sz w:val="20"/>
          <w:szCs w:val="20"/>
        </w:rPr>
        <w:t xml:space="preserve">You, plus anyone who takes requests for GIS work</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0f7ea3" w:sz="24"/>
              <w:bottom w:val="none" w:color="FFFFFF" w:sz="0"/>
              <w:right w:val="none" w:color="FFFFFF" w:sz="0"/>
            </w:tcBorders>
            <w:shd w:fill="eef6fa" w:color="eef6fa" w:val="clear"/>
            <w:tcMar>
              <w:top w:type="dxa" w:w="100"/>
              <w:left w:type="dxa" w:w="180"/>
              <w:bottom w:type="dxa" w:w="100"/>
              <w:right w:type="dxa" w:w="180"/>
            </w:tcMar>
          </w:tcPr>
          <w:p>
            <w:pPr>
              <w:spacing w:after="60"/>
            </w:pPr>
            <w:r>
              <w:rPr>
                <w:rFonts w:ascii="Arial" w:cs="Arial" w:eastAsia="Arial" w:hAnsi="Arial"/>
                <w:b/>
                <w:bCs/>
                <w:color w:val="1e3a5f"/>
                <w:sz w:val="20"/>
                <w:szCs w:val="20"/>
              </w:rPr>
              <w:t xml:space="preserve">Why this matters</w:t>
            </w:r>
          </w:p>
          <w:p>
            <w:pPr>
              <w:spacing w:after="60"/>
            </w:pPr>
            <w:r>
              <w:rPr>
                <w:rFonts w:ascii="Arial" w:cs="Arial" w:eastAsia="Arial" w:hAnsi="Arial"/>
                <w:color w:val="374151"/>
                <w:sz w:val="19"/>
                <w:szCs w:val="19"/>
              </w:rPr>
              <w:t xml:space="preserve">When a hurricane, cyberattack or building closure hits, you will not be able to do everything. The first step in continuity planning is deciding, ahead of time, which GIS services have to keep going and which can wait.</w:t>
            </w:r>
          </w:p>
          <w:p>
            <w:pPr>
              <w:spacing w:after="60"/>
            </w:pPr>
            <w:r>
              <w:rPr>
                <w:rFonts w:ascii="Arial" w:cs="Arial" w:eastAsia="Arial" w:hAnsi="Arial"/>
                <w:color w:val="374151"/>
                <w:sz w:val="19"/>
                <w:szCs w:val="19"/>
              </w:rPr>
              <w:t xml:space="preserve">Continuity planners call the must-keep-going work your essential functions. You will find your top three here. The other worksheets build on them.</w:t>
            </w:r>
          </w:p>
        </w:tc>
      </w:tr>
    </w:tbl>
    <w:p>
      <w:pPr>
        <w:spacing w:after="120"/>
      </w:pPr>
    </w:p>
    <w:p>
      <w:pPr>
        <w:keepNext/>
        <w:pBdr>
          <w:bottom w:val="single" w:color="0f7ea3" w:sz="6" w:space="2"/>
        </w:pBdr>
        <w:spacing w:after="100" w:before="280"/>
      </w:pPr>
      <w:r>
        <w:rPr>
          <w:rFonts w:ascii="Arial" w:cs="Arial" w:eastAsia="Arial" w:hAnsi="Arial"/>
          <w:b/>
          <w:bCs/>
          <w:color w:val="0f7ea3"/>
          <w:sz w:val="26"/>
          <w:szCs w:val="26"/>
        </w:rPr>
        <w:t xml:space="preserve">Step 1. List the GIS services you provide</w:t>
      </w:r>
    </w:p>
    <w:p>
      <w:pPr>
        <w:spacing w:after="120"/>
      </w:pPr>
      <w:r>
        <w:rPr>
          <w:rFonts w:ascii="Arial" w:cs="Arial" w:eastAsia="Arial" w:hAnsi="Arial"/>
          <w:color w:val="374151"/>
          <w:sz w:val="20"/>
          <w:szCs w:val="20"/>
        </w:rPr>
        <w:t xml:space="preserve">Write down each service your GIS team delivers. Be specific. "GIS support" is too broad. "Keeping 911 address points current" is just right. Aim for 6 to 10 services.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427"/>
        <w:gridCol w:w="2822"/>
        <w:gridCol w:w="3830"/>
      </w:tblGrid>
      <w:tr>
        <w:trPr>
          <w:cantSplit/>
          <w:tblHeader/>
        </w:trPr>
        <w:tc>
          <w:tcPr>
            <w:tcW w:type="dxa" w:w="3427"/>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GIS service</w:t>
            </w:r>
          </w:p>
        </w:tc>
        <w:tc>
          <w:tcPr>
            <w:tcW w:type="dxa" w:w="2822"/>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Who relies on it</w:t>
            </w:r>
          </w:p>
        </w:tc>
        <w:tc>
          <w:tcPr>
            <w:tcW w:type="dxa" w:w="3830"/>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What happens if it stops for a day?</w:t>
            </w:r>
          </w:p>
        </w:tc>
      </w:tr>
      <w:tr>
        <w:trPr>
          <w:cantSplit/>
        </w:trPr>
        <w:tc>
          <w:tcPr>
            <w:tcW w:type="dxa" w:w="3427"/>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Example: Emergency maps and dashboards for the EOC (Emergency Operations Center)</w:t>
            </w:r>
          </w:p>
        </w:tc>
        <w:tc>
          <w:tcPr>
            <w:tcW w:type="dxa" w:w="2822"/>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Emergency management, EOC staff</w:t>
            </w:r>
          </w:p>
        </w:tc>
        <w:tc>
          <w:tcPr>
            <w:tcW w:type="dxa" w:w="3830"/>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Decisions are made without current maps of damage, shelters and closures</w:t>
            </w:r>
          </w:p>
        </w:tc>
      </w:tr>
      <w:tr>
        <w:trPr>
          <w:cantSplit/>
        </w:trPr>
        <w:tc>
          <w:tcPr>
            <w:tcW w:type="dxa" w:w="3427"/>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Example: Public web map updates</w:t>
            </w:r>
          </w:p>
        </w:tc>
        <w:tc>
          <w:tcPr>
            <w:tcW w:type="dxa" w:w="2822"/>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General public</w:t>
            </w:r>
          </w:p>
        </w:tc>
        <w:tc>
          <w:tcPr>
            <w:tcW w:type="dxa" w:w="3830"/>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Maps stay a little out of date. Little immediate harm</w:t>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560" w:hRule="atLeast"/>
        </w:trPr>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82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83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spacing w:after="120"/>
      </w:pPr>
      <w:r>
        <w:rPr>
          <w:rFonts w:ascii="Arial" w:cs="Arial" w:eastAsia="Arial" w:hAnsi="Arial"/>
          <w:i/>
          <w:iCs/>
          <w:color w:val="6b7280"/>
          <w:sz w:val="18"/>
          <w:szCs w:val="18"/>
        </w:rPr>
        <w:t xml:space="preserve">Tip: think about the requests you got during your last emergency activation, not just your everyday work.</w:t>
      </w:r>
    </w:p>
    <w:p>
      <w:pPr>
        <w:keepNext/>
        <w:pBdr>
          <w:bottom w:val="single" w:color="0f7ea3" w:sz="6" w:space="2"/>
        </w:pBdr>
        <w:spacing w:after="100" w:before="280"/>
      </w:pPr>
      <w:r>
        <w:rPr>
          <w:rFonts w:ascii="Arial" w:cs="Arial" w:eastAsia="Arial" w:hAnsi="Arial"/>
          <w:b/>
          <w:bCs/>
          <w:color w:val="0f7ea3"/>
          <w:sz w:val="26"/>
          <w:szCs w:val="26"/>
        </w:rPr>
        <w:t xml:space="preserve">Step 2. Test each service</w:t>
      </w:r>
    </w:p>
    <w:p>
      <w:pPr>
        <w:spacing w:after="120"/>
      </w:pPr>
      <w:r>
        <w:rPr>
          <w:rFonts w:ascii="Arial" w:cs="Arial" w:eastAsia="Arial" w:hAnsi="Arial"/>
          <w:color w:val="374151"/>
          <w:sz w:val="20"/>
          <w:szCs w:val="20"/>
        </w:rPr>
        <w:t xml:space="preserve">Go down your list and ask three questions about each service. If the answer to any one of them is yes, put a star next to it.</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Does it support life safety or emergency response? (For example, 911 addressing or EOC mapping.)</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Is it required by law, regulation, contract or a formal agreement?</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If it stopped, would other essential work stop too? (For example, the platform everything else runs on.)</w:t>
      </w:r>
    </w:p>
    <w:p>
      <w:pPr>
        <w:keepNext/>
        <w:pBdr>
          <w:bottom w:val="single" w:color="0f7ea3" w:sz="6" w:space="2"/>
        </w:pBdr>
        <w:spacing w:after="100" w:before="280"/>
      </w:pPr>
      <w:r>
        <w:rPr>
          <w:rFonts w:ascii="Arial" w:cs="Arial" w:eastAsia="Arial" w:hAnsi="Arial"/>
          <w:b/>
          <w:bCs/>
          <w:color w:val="0f7ea3"/>
          <w:sz w:val="26"/>
          <w:szCs w:val="26"/>
        </w:rPr>
        <w:t xml:space="preserve">Step 3. Choose your top three</w:t>
      </w:r>
    </w:p>
    <w:p>
      <w:pPr>
        <w:spacing w:after="120"/>
      </w:pPr>
      <w:r>
        <w:rPr>
          <w:rFonts w:ascii="Arial" w:cs="Arial" w:eastAsia="Arial" w:hAnsi="Arial"/>
          <w:color w:val="374151"/>
          <w:sz w:val="20"/>
          <w:szCs w:val="20"/>
        </w:rPr>
        <w:t xml:space="preserve">From your starred services, pick the three that would cause the most harm if they stopped. For each one, estimate how long it could be down before the harm becomes serious. Planners call this the maximum tolerable downtime. A rough guess in hours or days is fine.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3226"/>
        <w:gridCol w:w="4032"/>
        <w:gridCol w:w="2218"/>
      </w:tblGrid>
      <w:tr>
        <w:trPr>
          <w:cantSplit/>
          <w:tblHeader/>
        </w:trPr>
        <w:tc>
          <w:tcPr>
            <w:tcW w:type="dxa" w:w="605"/>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t>
            </w:r>
          </w:p>
        </w:tc>
        <w:tc>
          <w:tcPr>
            <w:tcW w:type="dxa" w:w="322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Service that can’t stop</w:t>
            </w:r>
          </w:p>
        </w:tc>
        <w:tc>
          <w:tcPr>
            <w:tcW w:type="dxa" w:w="4032"/>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Why it can’t wait</w:t>
            </w:r>
          </w:p>
        </w:tc>
        <w:tc>
          <w:tcPr>
            <w:tcW w:type="dxa" w:w="2218"/>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Longest it could be down</w:t>
            </w:r>
          </w:p>
        </w:tc>
      </w:tr>
      <w:tr>
        <w:trPr>
          <w:cantSplit/>
        </w:trPr>
        <w:tc>
          <w:tcPr>
            <w:tcW w:type="dxa" w:w="605"/>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
            </w:r>
          </w:p>
        </w:tc>
        <w:tc>
          <w:tcPr>
            <w:tcW w:type="dxa" w:w="3226"/>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Example: 911 addressing support</w:t>
            </w:r>
          </w:p>
        </w:tc>
        <w:tc>
          <w:tcPr>
            <w:tcW w:type="dxa" w:w="4032"/>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Dispatchers need correct addresses to send help</w:t>
            </w:r>
          </w:p>
        </w:tc>
        <w:tc>
          <w:tcPr>
            <w:tcW w:type="dxa" w:w="2218"/>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About 4 hours</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3226"/>
        <w:gridCol w:w="4032"/>
        <w:gridCol w:w="2218"/>
      </w:tblGrid>
      <w:tr>
        <w:trPr>
          <w:cantSplit/>
          <w:trHeight w:val="760" w:hRule="atLeast"/>
        </w:trPr>
        <w:tc>
          <w:tcPr>
            <w:tcW w:type="dxa" w:w="605"/>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1</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403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218"/>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760" w:hRule="atLeast"/>
        </w:trPr>
        <w:tc>
          <w:tcPr>
            <w:tcW w:type="dxa" w:w="605"/>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2</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403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218"/>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760" w:hRule="atLeast"/>
        </w:trPr>
        <w:tc>
          <w:tcPr>
            <w:tcW w:type="dxa" w:w="605"/>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3</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4032"/>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218"/>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keepNext/>
        <w:pBdr>
          <w:bottom w:val="single" w:color="0f7ea3" w:sz="6" w:space="2"/>
        </w:pBdr>
        <w:spacing w:after="100" w:before="280"/>
      </w:pPr>
      <w:r>
        <w:rPr>
          <w:rFonts w:ascii="Arial" w:cs="Arial" w:eastAsia="Arial" w:hAnsi="Arial"/>
          <w:b/>
          <w:bCs/>
          <w:color w:val="0f7ea3"/>
          <w:sz w:val="26"/>
          <w:szCs w:val="26"/>
        </w:rPr>
        <w:t xml:space="preserve">Step 4. Name what can wait</w:t>
      </w:r>
    </w:p>
    <w:p>
      <w:pPr>
        <w:spacing w:after="120"/>
      </w:pPr>
      <w:r>
        <w:rPr>
          <w:rFonts w:ascii="Arial" w:cs="Arial" w:eastAsia="Arial" w:hAnsi="Arial"/>
          <w:color w:val="374151"/>
          <w:sz w:val="20"/>
          <w:szCs w:val="20"/>
        </w:rPr>
        <w:t xml:space="preserve">Deciding what to pause is just as useful. It frees people to work on the top three. List two or three services you would put on hold, and for how long.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56"/>
        <w:gridCol w:w="3024"/>
      </w:tblGrid>
      <w:tr>
        <w:trPr>
          <w:cantSplit/>
          <w:tblHeader/>
        </w:trPr>
        <w:tc>
          <w:tcPr>
            <w:tcW w:type="dxa" w:w="705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Service you would pause</w:t>
            </w:r>
          </w:p>
        </w:tc>
        <w:tc>
          <w:tcPr>
            <w:tcW w:type="dxa" w:w="3024"/>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For how long?</w:t>
            </w:r>
          </w:p>
        </w:tc>
      </w:tr>
      <w:tr>
        <w:trPr>
          <w:cantSplit/>
        </w:trPr>
        <w:tc>
          <w:tcPr>
            <w:tcW w:type="dxa" w:w="7056"/>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Example: New data layer projects</w:t>
            </w:r>
          </w:p>
        </w:tc>
        <w:tc>
          <w:tcPr>
            <w:tcW w:type="dxa" w:w="3024"/>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Until the event is over</w:t>
            </w:r>
          </w:p>
        </w:tc>
      </w:tr>
      <w:tr>
        <w:trPr>
          <w:cantSplit/>
          <w:trHeight w:val="480" w:hRule="atLeast"/>
        </w:trPr>
        <w:tc>
          <w:tcPr>
            <w:tcW w:type="dxa" w:w="705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480" w:hRule="atLeast"/>
        </w:trPr>
        <w:tc>
          <w:tcPr>
            <w:tcW w:type="dxa" w:w="705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480" w:hRule="atLeast"/>
        </w:trPr>
        <w:tc>
          <w:tcPr>
            <w:tcW w:type="dxa" w:w="705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spacing w:after="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0f7ea3" w:sz="24"/>
              <w:bottom w:val="none" w:color="FFFFFF" w:sz="0"/>
              <w:right w:val="none" w:color="FFFFFF" w:sz="0"/>
            </w:tcBorders>
            <w:shd w:fill="eef6fa" w:color="eef6fa" w:val="clear"/>
            <w:tcMar>
              <w:top w:type="dxa" w:w="100"/>
              <w:left w:type="dxa" w:w="180"/>
              <w:bottom w:type="dxa" w:w="100"/>
              <w:right w:type="dxa" w:w="180"/>
            </w:tcMar>
          </w:tcPr>
          <w:p>
            <w:pPr>
              <w:spacing w:after="60"/>
            </w:pPr>
            <w:r>
              <w:rPr>
                <w:rFonts w:ascii="Arial" w:cs="Arial" w:eastAsia="Arial" w:hAnsi="Arial"/>
                <w:b/>
                <w:bCs/>
                <w:color w:val="1e3a5f"/>
                <w:sz w:val="20"/>
                <w:szCs w:val="20"/>
              </w:rPr>
              <w:t xml:space="preserve">Bring this forward</w:t>
            </w:r>
          </w:p>
          <w:p>
            <w:pPr>
              <w:spacing w:after="60"/>
            </w:pPr>
            <w:r>
              <w:rPr>
                <w:rFonts w:ascii="Arial" w:cs="Arial" w:eastAsia="Arial" w:hAnsi="Arial"/>
                <w:color w:val="374151"/>
                <w:sz w:val="19"/>
                <w:szCs w:val="19"/>
              </w:rPr>
              <w:t xml:space="preserve">Copy your top three services into Worksheet 2. That is where you find out what each one depends on.</w:t>
            </w:r>
          </w:p>
        </w:tc>
      </w:tr>
    </w:tbl>
    <w:p>
      <w:pPr>
        <w:sectPr>
          <w:footerReference w:type="default" r:id="rId7"/>
          <w:pgSz w:w="12240" w:h="15840" w:orient="portrait"/>
          <w:pgMar w:top="1080" w:right="1080" w:bottom="1080" w:left="1080" w:header="708" w:footer="708" w:gutter="0"/>
          <w:pgNumType/>
          <w:docGrid w:linePitch="360"/>
        </w:sectPr>
      </w:pPr>
    </w:p>
    <w:p>
      <w:pPr>
        <w:spacing w:after="60"/>
      </w:pPr>
      <w:r>
        <w:rPr>
          <w:rFonts w:ascii="Arial" w:cs="Arial" w:eastAsia="Arial" w:hAnsi="Arial"/>
          <w:b/>
          <w:bCs/>
          <w:color w:val="0f7ea3"/>
          <w:spacing w:val="20"/>
          <w:sz w:val="16"/>
          <w:szCs w:val="16"/>
        </w:rPr>
        <w:t xml:space="preserve">CONTINUITY STARTER WORKSHEET 2 OF 4</w:t>
      </w:r>
    </w:p>
    <w:p>
      <w:pPr>
        <w:spacing w:after="120"/>
      </w:pPr>
      <w:r>
        <w:rPr>
          <w:rFonts w:ascii="Arial" w:cs="Arial" w:eastAsia="Arial" w:hAnsi="Arial"/>
          <w:b/>
          <w:bCs/>
          <w:color w:val="1e3a5f"/>
          <w:sz w:val="40"/>
          <w:szCs w:val="40"/>
        </w:rPr>
        <w:t xml:space="preserve">What It Runs On</w:t>
      </w:r>
    </w:p>
    <w:p>
      <w:pPr>
        <w:spacing w:after="160"/>
      </w:pPr>
      <w:r>
        <w:rPr>
          <w:rFonts w:ascii="Arial" w:cs="Arial" w:eastAsia="Arial" w:hAnsi="Arial"/>
          <w:b/>
          <w:bCs/>
          <w:color w:val="374151"/>
          <w:sz w:val="20"/>
          <w:szCs w:val="20"/>
        </w:rPr>
        <w:t xml:space="preserve">Time: </w:t>
      </w:r>
      <w:r>
        <w:rPr>
          <w:rFonts w:ascii="Arial" w:cs="Arial" w:eastAsia="Arial" w:hAnsi="Arial"/>
          <w:color w:val="374151"/>
          <w:sz w:val="20"/>
          <w:szCs w:val="20"/>
        </w:rPr>
        <w:t xml:space="preserve">About 30 minutes</w:t>
      </w:r>
      <w:r>
        <w:rPr>
          <w:rFonts w:ascii="Arial" w:cs="Arial" w:eastAsia="Arial" w:hAnsi="Arial"/>
          <w:b/>
          <w:bCs/>
          <w:color w:val="374151"/>
          <w:sz w:val="20"/>
          <w:szCs w:val="20"/>
        </w:rPr>
        <w:t xml:space="preserve">     Who to involve: </w:t>
      </w:r>
      <w:r>
        <w:rPr>
          <w:rFonts w:ascii="Arial" w:cs="Arial" w:eastAsia="Arial" w:hAnsi="Arial"/>
          <w:color w:val="374151"/>
          <w:sz w:val="20"/>
          <w:szCs w:val="20"/>
        </w:rPr>
        <w:t xml:space="preserve">Your GIS staff, plus a quick check with 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0f7ea3" w:sz="24"/>
              <w:bottom w:val="none" w:color="FFFFFF" w:sz="0"/>
              <w:right w:val="none" w:color="FFFFFF" w:sz="0"/>
            </w:tcBorders>
            <w:shd w:fill="eef6fa" w:color="eef6fa" w:val="clear"/>
            <w:tcMar>
              <w:top w:type="dxa" w:w="100"/>
              <w:left w:type="dxa" w:w="180"/>
              <w:bottom w:type="dxa" w:w="100"/>
              <w:right w:type="dxa" w:w="180"/>
            </w:tcMar>
          </w:tcPr>
          <w:p>
            <w:pPr>
              <w:spacing w:after="60"/>
            </w:pPr>
            <w:r>
              <w:rPr>
                <w:rFonts w:ascii="Arial" w:cs="Arial" w:eastAsia="Arial" w:hAnsi="Arial"/>
                <w:b/>
                <w:bCs/>
                <w:color w:val="1e3a5f"/>
                <w:sz w:val="20"/>
                <w:szCs w:val="20"/>
              </w:rPr>
              <w:t xml:space="preserve">Why this matters</w:t>
            </w:r>
          </w:p>
          <w:p>
            <w:pPr>
              <w:spacing w:after="60"/>
            </w:pPr>
            <w:r>
              <w:rPr>
                <w:rFonts w:ascii="Arial" w:cs="Arial" w:eastAsia="Arial" w:hAnsi="Arial"/>
                <w:color w:val="374151"/>
                <w:sz w:val="19"/>
                <w:szCs w:val="19"/>
              </w:rPr>
              <w:t xml:space="preserve">Every GIS service depends on people, software, data and a place to work. On a normal day those are all there. In a disruption, some of them will not be.</w:t>
            </w:r>
          </w:p>
          <w:p>
            <w:pPr>
              <w:spacing w:after="60"/>
            </w:pPr>
            <w:r>
              <w:rPr>
                <w:rFonts w:ascii="Arial" w:cs="Arial" w:eastAsia="Arial" w:hAnsi="Arial"/>
                <w:color w:val="374151"/>
                <w:sz w:val="19"/>
                <w:szCs w:val="19"/>
              </w:rPr>
              <w:t xml:space="preserve">The gaps between "normal day" and "bad day" are your weak spots. Finding them now is how you fix them before you need them.</w:t>
            </w:r>
          </w:p>
        </w:tc>
      </w:tr>
    </w:tbl>
    <w:p>
      <w:pPr>
        <w:spacing w:after="120"/>
      </w:pPr>
    </w:p>
    <w:p>
      <w:pPr>
        <w:keepNext/>
        <w:pBdr>
          <w:bottom w:val="single" w:color="0f7ea3" w:sz="6" w:space="2"/>
        </w:pBdr>
        <w:spacing w:after="100" w:before="280"/>
      </w:pPr>
      <w:r>
        <w:rPr>
          <w:rFonts w:ascii="Arial" w:cs="Arial" w:eastAsia="Arial" w:hAnsi="Arial"/>
          <w:b/>
          <w:bCs/>
          <w:color w:val="0f7ea3"/>
          <w:sz w:val="26"/>
          <w:szCs w:val="26"/>
        </w:rPr>
        <w:t xml:space="preserve">How to fill this in</w:t>
      </w:r>
    </w:p>
    <w:p>
      <w:pPr>
        <w:pStyle w:val="ListParagraph"/>
        <w:numPr>
          <w:ilvl w:val="0"/>
          <w:numId w:val="1"/>
        </w:numPr>
        <w:spacing w:after="60"/>
      </w:pPr>
      <w:r>
        <w:rPr>
          <w:rFonts w:ascii="Arial" w:cs="Arial" w:eastAsia="Arial" w:hAnsi="Arial"/>
          <w:color w:val="374151"/>
          <w:sz w:val="20"/>
          <w:szCs w:val="20"/>
        </w:rPr>
        <w:t xml:space="preserve">Write one of your top three services from Worksheet 1 at the top of each table.</w:t>
      </w:r>
    </w:p>
    <w:p>
      <w:pPr>
        <w:pStyle w:val="ListParagraph"/>
        <w:numPr>
          <w:ilvl w:val="0"/>
          <w:numId w:val="1"/>
        </w:numPr>
        <w:spacing w:after="60"/>
      </w:pPr>
      <w:r>
        <w:rPr>
          <w:rFonts w:ascii="Arial" w:cs="Arial" w:eastAsia="Arial" w:hAnsi="Arial"/>
          <w:color w:val="374151"/>
          <w:sz w:val="20"/>
          <w:szCs w:val="20"/>
        </w:rPr>
        <w:t xml:space="preserve">For each row, write what the service needs on a normal day.</w:t>
      </w:r>
    </w:p>
    <w:p>
      <w:pPr>
        <w:pStyle w:val="ListParagraph"/>
        <w:numPr>
          <w:ilvl w:val="0"/>
          <w:numId w:val="1"/>
        </w:numPr>
        <w:spacing w:after="60"/>
      </w:pPr>
      <w:r>
        <w:rPr>
          <w:rFonts w:ascii="Arial" w:cs="Arial" w:eastAsia="Arial" w:hAnsi="Arial"/>
          <w:color w:val="374151"/>
          <w:sz w:val="20"/>
          <w:szCs w:val="20"/>
        </w:rPr>
        <w:t xml:space="preserve">Then ask: if that were gone tomorrow, what is the backup? If there isn’t one, write "None." That is a gap, and it is exactly what you are looking for.</w:t>
      </w:r>
    </w:p>
    <w:p>
      <w:pPr>
        <w:spacing w:after="120"/>
      </w:pPr>
    </w:p>
    <w:p>
      <w:pPr>
        <w:keepNext/>
        <w:spacing w:after="80" w:before="200"/>
      </w:pPr>
      <w:r>
        <w:rPr>
          <w:rFonts w:ascii="Arial" w:cs="Arial" w:eastAsia="Arial" w:hAnsi="Arial"/>
          <w:b/>
          <w:bCs/>
          <w:color w:val="1e3a5f"/>
          <w:sz w:val="22"/>
          <w:szCs w:val="22"/>
        </w:rPr>
        <w:t xml:space="preserve">Example: Emergency maps for the EOC</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16"/>
        <w:gridCol w:w="3226"/>
        <w:gridCol w:w="3629"/>
        <w:gridCol w:w="1210"/>
      </w:tblGrid>
      <w:tr>
        <w:trPr>
          <w:cantSplit/>
          <w:tblHeader/>
        </w:trPr>
        <w:tc>
          <w:tcPr>
            <w:tcW w:type="dxa" w:w="201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Needs</w:t>
            </w:r>
          </w:p>
        </w:tc>
        <w:tc>
          <w:tcPr>
            <w:tcW w:type="dxa" w:w="322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On a normal day</w:t>
            </w:r>
          </w:p>
        </w:tc>
        <w:tc>
          <w:tcPr>
            <w:tcW w:type="dxa" w:w="3629"/>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If that’s gone, the backup is…</w:t>
            </w:r>
          </w:p>
        </w:tc>
        <w:tc>
          <w:tcPr>
            <w:tcW w:type="dxa" w:w="1210"/>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Gap?</w:t>
            </w:r>
          </w:p>
        </w:tc>
      </w:tr>
      <w:tr>
        <w:trPr>
          <w:cantSpli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People</w:t>
            </w:r>
          </w:p>
        </w:tc>
        <w:tc>
          <w:tcPr>
            <w:tcW w:type="dxa" w:w="3226"/>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One GIS analyst builds all EOC maps</w:t>
            </w:r>
          </w:p>
        </w:tc>
        <w:tc>
          <w:tcPr>
            <w:tcW w:type="dxa" w:w="3629"/>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None. No one else has done it</w:t>
            </w:r>
          </w:p>
        </w:tc>
        <w:tc>
          <w:tcPr>
            <w:tcW w:type="dxa" w:w="1210"/>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Yes</w:t>
            </w:r>
          </w:p>
        </w:tc>
      </w:tr>
      <w:tr>
        <w:trPr>
          <w:cantSpli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Software and licenses</w:t>
            </w:r>
          </w:p>
        </w:tc>
        <w:tc>
          <w:tcPr>
            <w:tcW w:type="dxa" w:w="3226"/>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ArcGIS Online; ArcGIS Pro license on one office computer</w:t>
            </w:r>
          </w:p>
        </w:tc>
        <w:tc>
          <w:tcPr>
            <w:tcW w:type="dxa" w:w="3629"/>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Backup laptop, but its license is not set up</w:t>
            </w:r>
          </w:p>
        </w:tc>
        <w:tc>
          <w:tcPr>
            <w:tcW w:type="dxa" w:w="1210"/>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Yes</w:t>
            </w:r>
          </w:p>
        </w:tc>
      </w:tr>
      <w:tr>
        <w:trPr>
          <w:cantSpli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Data</w:t>
            </w:r>
          </w:p>
        </w:tc>
        <w:tc>
          <w:tcPr>
            <w:tcW w:type="dxa" w:w="3226"/>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Parcels and roads on the network drive</w:t>
            </w:r>
          </w:p>
        </w:tc>
        <w:tc>
          <w:tcPr>
            <w:tcW w:type="dxa" w:w="3629"/>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No offline copy</w:t>
            </w:r>
          </w:p>
        </w:tc>
        <w:tc>
          <w:tcPr>
            <w:tcW w:type="dxa" w:w="1210"/>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Yes</w:t>
            </w:r>
          </w:p>
        </w:tc>
      </w:tr>
      <w:tr>
        <w:trPr>
          <w:cantSpli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Place and equipment</w:t>
            </w:r>
          </w:p>
        </w:tc>
        <w:tc>
          <w:tcPr>
            <w:tcW w:type="dxa" w:w="3226"/>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GIS office, large-format plotter</w:t>
            </w:r>
          </w:p>
        </w:tc>
        <w:tc>
          <w:tcPr>
            <w:tcW w:type="dxa" w:w="3629"/>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EOC has a workstation; no plotter</w:t>
            </w:r>
          </w:p>
        </w:tc>
        <w:tc>
          <w:tcPr>
            <w:tcW w:type="dxa" w:w="1210"/>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Partly</w:t>
            </w:r>
          </w:p>
        </w:tc>
      </w:tr>
      <w:tr>
        <w:trPr>
          <w:cantSpli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Partners and vendors</w:t>
            </w:r>
          </w:p>
        </w:tc>
        <w:tc>
          <w:tcPr>
            <w:tcW w:type="dxa" w:w="3226"/>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IT help desk; state GIS clearinghouse</w:t>
            </w:r>
          </w:p>
        </w:tc>
        <w:tc>
          <w:tcPr>
            <w:tcW w:type="dxa" w:w="3629"/>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Esri support line (number not written down)</w:t>
            </w:r>
          </w:p>
        </w:tc>
        <w:tc>
          <w:tcPr>
            <w:tcW w:type="dxa" w:w="1210"/>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Partly</w:t>
            </w:r>
          </w:p>
        </w:tc>
      </w:tr>
    </w:tbl>
    <w:p>
      <w:pPr>
        <w:spacing w:after="120"/>
      </w:pPr>
    </w:p>
    <w:p>
      <w:pPr>
        <w:keepNext/>
        <w:spacing w:after="80" w:before="200"/>
      </w:pPr>
      <w:r>
        <w:rPr>
          <w:rFonts w:ascii="Arial" w:cs="Arial" w:eastAsia="Arial" w:hAnsi="Arial"/>
          <w:b/>
          <w:bCs/>
          <w:color w:val="1e3a5f"/>
          <w:sz w:val="22"/>
          <w:szCs w:val="22"/>
        </w:rPr>
        <w:t xml:space="preserve">Service 1: ______________________________________________</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16"/>
        <w:gridCol w:w="3226"/>
        <w:gridCol w:w="3629"/>
        <w:gridCol w:w="1210"/>
      </w:tblGrid>
      <w:tr>
        <w:trPr>
          <w:cantSplit/>
          <w:tblHeader/>
        </w:trPr>
        <w:tc>
          <w:tcPr>
            <w:tcW w:type="dxa" w:w="201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Needs</w:t>
            </w:r>
          </w:p>
        </w:tc>
        <w:tc>
          <w:tcPr>
            <w:tcW w:type="dxa" w:w="322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On a normal day</w:t>
            </w:r>
          </w:p>
        </w:tc>
        <w:tc>
          <w:tcPr>
            <w:tcW w:type="dxa" w:w="3629"/>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If that’s gone, the backup is…</w:t>
            </w:r>
          </w:p>
        </w:tc>
        <w:tc>
          <w:tcPr>
            <w:tcW w:type="dxa" w:w="1210"/>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Gap?</w:t>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People</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Software and licenses</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Data</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Place and equipment</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Partners and vendors</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spacing w:after="120"/>
      </w:pPr>
    </w:p>
    <w:p>
      <w:pPr>
        <w:keepNext/>
        <w:spacing w:after="80" w:before="200"/>
      </w:pPr>
      <w:r>
        <w:rPr>
          <w:rFonts w:ascii="Arial" w:cs="Arial" w:eastAsia="Arial" w:hAnsi="Arial"/>
          <w:b/>
          <w:bCs/>
          <w:color w:val="1e3a5f"/>
          <w:sz w:val="22"/>
          <w:szCs w:val="22"/>
        </w:rPr>
        <w:t xml:space="preserve">Service 2: ______________________________________________</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16"/>
        <w:gridCol w:w="3226"/>
        <w:gridCol w:w="3629"/>
        <w:gridCol w:w="1210"/>
      </w:tblGrid>
      <w:tr>
        <w:trPr>
          <w:cantSplit/>
          <w:tblHeader/>
        </w:trPr>
        <w:tc>
          <w:tcPr>
            <w:tcW w:type="dxa" w:w="201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Needs</w:t>
            </w:r>
          </w:p>
        </w:tc>
        <w:tc>
          <w:tcPr>
            <w:tcW w:type="dxa" w:w="322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On a normal day</w:t>
            </w:r>
          </w:p>
        </w:tc>
        <w:tc>
          <w:tcPr>
            <w:tcW w:type="dxa" w:w="3629"/>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If that’s gone, the backup is…</w:t>
            </w:r>
          </w:p>
        </w:tc>
        <w:tc>
          <w:tcPr>
            <w:tcW w:type="dxa" w:w="1210"/>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Gap?</w:t>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People</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Software and licenses</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Data</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Place and equipment</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Partners and vendors</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spacing w:after="120"/>
      </w:pPr>
    </w:p>
    <w:p>
      <w:pPr>
        <w:keepNext/>
        <w:spacing w:after="80" w:before="200"/>
      </w:pPr>
      <w:r>
        <w:rPr>
          <w:rFonts w:ascii="Arial" w:cs="Arial" w:eastAsia="Arial" w:hAnsi="Arial"/>
          <w:b/>
          <w:bCs/>
          <w:color w:val="1e3a5f"/>
          <w:sz w:val="22"/>
          <w:szCs w:val="22"/>
        </w:rPr>
        <w:t xml:space="preserve">Service 3: ______________________________________________</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16"/>
        <w:gridCol w:w="3226"/>
        <w:gridCol w:w="3629"/>
        <w:gridCol w:w="1210"/>
      </w:tblGrid>
      <w:tr>
        <w:trPr>
          <w:cantSplit/>
          <w:tblHeader/>
        </w:trPr>
        <w:tc>
          <w:tcPr>
            <w:tcW w:type="dxa" w:w="201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Needs</w:t>
            </w:r>
          </w:p>
        </w:tc>
        <w:tc>
          <w:tcPr>
            <w:tcW w:type="dxa" w:w="322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On a normal day</w:t>
            </w:r>
          </w:p>
        </w:tc>
        <w:tc>
          <w:tcPr>
            <w:tcW w:type="dxa" w:w="3629"/>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If that’s gone, the backup is…</w:t>
            </w:r>
          </w:p>
        </w:tc>
        <w:tc>
          <w:tcPr>
            <w:tcW w:type="dxa" w:w="1210"/>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Gap?</w:t>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People</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Software and licenses</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Data</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Place and equipment</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2016"/>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b/>
                <w:bCs/>
                <w:color w:val="1e3a5f"/>
                <w:sz w:val="18"/>
                <w:szCs w:val="18"/>
              </w:rPr>
              <w:t xml:space="preserve">Partners and vendors</w:t>
            </w:r>
          </w:p>
        </w:tc>
        <w:tc>
          <w:tcPr>
            <w:tcW w:type="dxa" w:w="322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3629"/>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spacing w:after="120"/>
      </w:pPr>
    </w:p>
    <w:p>
      <w:pPr>
        <w:keepNext/>
        <w:pBdr>
          <w:bottom w:val="single" w:color="0f7ea3" w:sz="6" w:space="2"/>
        </w:pBdr>
        <w:spacing w:after="100" w:before="280"/>
      </w:pPr>
      <w:r>
        <w:rPr>
          <w:rFonts w:ascii="Arial" w:cs="Arial" w:eastAsia="Arial" w:hAnsi="Arial"/>
          <w:b/>
          <w:bCs/>
          <w:color w:val="0f7ea3"/>
          <w:sz w:val="26"/>
          <w:szCs w:val="26"/>
        </w:rPr>
        <w:t xml:space="preserve">Your biggest gaps</w:t>
      </w:r>
    </w:p>
    <w:p>
      <w:pPr>
        <w:spacing w:after="120"/>
      </w:pPr>
      <w:r>
        <w:rPr>
          <w:rFonts w:ascii="Arial" w:cs="Arial" w:eastAsia="Arial" w:hAnsi="Arial"/>
          <w:color w:val="374151"/>
          <w:sz w:val="20"/>
          <w:szCs w:val="20"/>
        </w:rPr>
        <w:t xml:space="preserve">Look at every "Yes" in the Gap column. Which three worry you most? These are strong candidates for your 30-day plan in Worksheet 4.</w:t>
      </w:r>
    </w:p>
    <w:p>
      <w:pPr>
        <w:keepNext/>
        <w:spacing w:after="120"/>
      </w:pPr>
      <w:r>
        <w:rPr>
          <w:rFonts w:ascii="Arial" w:cs="Arial" w:eastAsia="Arial" w:hAnsi="Arial"/>
          <w:b/>
          <w:bCs/>
          <w:color w:val="374151"/>
          <w:sz w:val="20"/>
          <w:szCs w:val="20"/>
        </w:rPr>
        <w:t xml:space="preserve">1. </w:t>
      </w:r>
    </w:p>
    <w:p>
      <w:pPr>
        <w:pBdr>
          <w:bottom w:val="single" w:color="cbd5e1" w:sz="4" w:space="1"/>
        </w:pBdr>
        <w:spacing w:after="60" w:before="200"/>
      </w:pPr>
      <w:r>
        <w:rPr>
          <w:rFonts w:ascii="Arial" w:cs="Arial" w:eastAsia="Arial" w:hAnsi="Arial"/>
          <w:color w:val="374151"/>
          <w:sz w:val="20"/>
          <w:szCs w:val="20"/>
        </w:rPr>
        <w:t xml:space="preserve"> </w:t>
      </w:r>
    </w:p>
    <w:p>
      <w:pPr>
        <w:keepNext/>
        <w:spacing w:after="120"/>
      </w:pPr>
      <w:r>
        <w:rPr>
          <w:rFonts w:ascii="Arial" w:cs="Arial" w:eastAsia="Arial" w:hAnsi="Arial"/>
          <w:b/>
          <w:bCs/>
          <w:color w:val="374151"/>
          <w:sz w:val="20"/>
          <w:szCs w:val="20"/>
        </w:rPr>
        <w:t xml:space="preserve">2. </w:t>
      </w:r>
    </w:p>
    <w:p>
      <w:pPr>
        <w:pBdr>
          <w:bottom w:val="single" w:color="cbd5e1" w:sz="4" w:space="1"/>
        </w:pBdr>
        <w:spacing w:after="60" w:before="200"/>
      </w:pPr>
      <w:r>
        <w:rPr>
          <w:rFonts w:ascii="Arial" w:cs="Arial" w:eastAsia="Arial" w:hAnsi="Arial"/>
          <w:color w:val="374151"/>
          <w:sz w:val="20"/>
          <w:szCs w:val="20"/>
        </w:rPr>
        <w:t xml:space="preserve"> </w:t>
      </w:r>
    </w:p>
    <w:p>
      <w:pPr>
        <w:keepNext/>
        <w:spacing w:after="120"/>
      </w:pPr>
      <w:r>
        <w:rPr>
          <w:rFonts w:ascii="Arial" w:cs="Arial" w:eastAsia="Arial" w:hAnsi="Arial"/>
          <w:b/>
          <w:bCs/>
          <w:color w:val="374151"/>
          <w:sz w:val="20"/>
          <w:szCs w:val="20"/>
        </w:rPr>
        <w:t xml:space="preserve">3. </w:t>
      </w:r>
    </w:p>
    <w:p>
      <w:pPr>
        <w:pBdr>
          <w:bottom w:val="single" w:color="cbd5e1" w:sz="4" w:space="1"/>
        </w:pBdr>
        <w:spacing w:after="60" w:before="200"/>
      </w:pPr>
      <w:r>
        <w:rPr>
          <w:rFonts w:ascii="Arial" w:cs="Arial" w:eastAsia="Arial" w:hAnsi="Arial"/>
          <w:color w:val="374151"/>
          <w:sz w:val="20"/>
          <w:szCs w:val="20"/>
        </w:rPr>
        <w:t xml:space="preserve"> </w:t>
      </w:r>
    </w:p>
    <w:p>
      <w:pPr>
        <w:spacing w:after="120"/>
      </w:pPr>
    </w:p>
    <w:p>
      <w:pPr>
        <w:spacing w:after="120"/>
      </w:pPr>
      <w:r>
        <w:rPr>
          <w:rFonts w:ascii="Arial" w:cs="Arial" w:eastAsia="Arial" w:hAnsi="Arial"/>
          <w:i/>
          <w:iCs/>
          <w:color w:val="6b7280"/>
          <w:sz w:val="18"/>
          <w:szCs w:val="18"/>
        </w:rPr>
        <w:t xml:space="preserve">Common gaps in GIS shops: a software license tied to one computer, no offline copy of key layers, admin passwords only one person knows, and no agreed place to work if the office is closed.</w:t>
      </w:r>
    </w:p>
    <w:p>
      <w:pPr>
        <w:sectPr>
          <w:footerReference w:type="default" r:id="rId8"/>
          <w:pgSz w:w="12240" w:h="15840" w:orient="portrait"/>
          <w:pgMar w:top="1080" w:right="1080" w:bottom="1080" w:left="1080" w:header="708" w:footer="708" w:gutter="0"/>
          <w:pgNumType/>
          <w:docGrid w:linePitch="360"/>
        </w:sectPr>
      </w:pPr>
    </w:p>
    <w:p>
      <w:pPr>
        <w:spacing w:after="60"/>
      </w:pPr>
      <w:r>
        <w:rPr>
          <w:rFonts w:ascii="Arial" w:cs="Arial" w:eastAsia="Arial" w:hAnsi="Arial"/>
          <w:b/>
          <w:bCs/>
          <w:color w:val="0f7ea3"/>
          <w:spacing w:val="20"/>
          <w:sz w:val="16"/>
          <w:szCs w:val="16"/>
        </w:rPr>
        <w:t xml:space="preserve">CONTINUITY STARTER WORKSHEET 3 OF 4</w:t>
      </w:r>
    </w:p>
    <w:p>
      <w:pPr>
        <w:spacing w:after="120"/>
      </w:pPr>
      <w:r>
        <w:rPr>
          <w:rFonts w:ascii="Arial" w:cs="Arial" w:eastAsia="Arial" w:hAnsi="Arial"/>
          <w:b/>
          <w:bCs/>
          <w:color w:val="1e3a5f"/>
          <w:sz w:val="40"/>
          <w:szCs w:val="40"/>
        </w:rPr>
        <w:t xml:space="preserve">If You’re Out Tomorrow</w:t>
      </w:r>
    </w:p>
    <w:p>
      <w:pPr>
        <w:spacing w:after="160"/>
      </w:pPr>
      <w:r>
        <w:rPr>
          <w:rFonts w:ascii="Arial" w:cs="Arial" w:eastAsia="Arial" w:hAnsi="Arial"/>
          <w:b/>
          <w:bCs/>
          <w:color w:val="374151"/>
          <w:sz w:val="20"/>
          <w:szCs w:val="20"/>
        </w:rPr>
        <w:t xml:space="preserve">Time: </w:t>
      </w:r>
      <w:r>
        <w:rPr>
          <w:rFonts w:ascii="Arial" w:cs="Arial" w:eastAsia="Arial" w:hAnsi="Arial"/>
          <w:color w:val="374151"/>
          <w:sz w:val="20"/>
          <w:szCs w:val="20"/>
        </w:rPr>
        <w:t xml:space="preserve">About 20 minutes</w:t>
      </w:r>
      <w:r>
        <w:rPr>
          <w:rFonts w:ascii="Arial" w:cs="Arial" w:eastAsia="Arial" w:hAnsi="Arial"/>
          <w:b/>
          <w:bCs/>
          <w:color w:val="374151"/>
          <w:sz w:val="20"/>
          <w:szCs w:val="20"/>
        </w:rPr>
        <w:t xml:space="preserve">     Who to involve: </w:t>
      </w:r>
      <w:r>
        <w:rPr>
          <w:rFonts w:ascii="Arial" w:cs="Arial" w:eastAsia="Arial" w:hAnsi="Arial"/>
          <w:color w:val="374151"/>
          <w:sz w:val="20"/>
          <w:szCs w:val="20"/>
        </w:rPr>
        <w:t xml:space="preserve">You and the people who would cover for you</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0f7ea3" w:sz="24"/>
              <w:bottom w:val="none" w:color="FFFFFF" w:sz="0"/>
              <w:right w:val="none" w:color="FFFFFF" w:sz="0"/>
            </w:tcBorders>
            <w:shd w:fill="eef6fa" w:color="eef6fa" w:val="clear"/>
            <w:tcMar>
              <w:top w:type="dxa" w:w="100"/>
              <w:left w:type="dxa" w:w="180"/>
              <w:bottom w:type="dxa" w:w="100"/>
              <w:right w:type="dxa" w:w="180"/>
            </w:tcMar>
          </w:tcPr>
          <w:p>
            <w:pPr>
              <w:spacing w:after="60"/>
            </w:pPr>
            <w:r>
              <w:rPr>
                <w:rFonts w:ascii="Arial" w:cs="Arial" w:eastAsia="Arial" w:hAnsi="Arial"/>
                <w:b/>
                <w:bCs/>
                <w:color w:val="1e3a5f"/>
                <w:sz w:val="20"/>
                <w:szCs w:val="20"/>
              </w:rPr>
              <w:t xml:space="preserve">Why this matters</w:t>
            </w:r>
          </w:p>
          <w:p>
            <w:pPr>
              <w:spacing w:after="60"/>
            </w:pPr>
            <w:r>
              <w:rPr>
                <w:rFonts w:ascii="Arial" w:cs="Arial" w:eastAsia="Arial" w:hAnsi="Arial"/>
                <w:color w:val="374151"/>
                <w:sz w:val="19"/>
                <w:szCs w:val="19"/>
              </w:rPr>
              <w:t xml:space="preserve">In many GIS teams, one person holds the know-how, the passwords or the only license for a critical service. If that person is sick, evacuated or caring for family, the service stops.</w:t>
            </w:r>
          </w:p>
          <w:p>
            <w:pPr>
              <w:spacing w:after="60"/>
            </w:pPr>
            <w:r>
              <w:rPr>
                <w:rFonts w:ascii="Arial" w:cs="Arial" w:eastAsia="Arial" w:hAnsi="Arial"/>
                <w:color w:val="374151"/>
                <w:sz w:val="19"/>
                <w:szCs w:val="19"/>
              </w:rPr>
              <w:t xml:space="preserve">This worksheet checks who could step in for each of your top three services, and whether they could find what they need without calling anyone.</w:t>
            </w:r>
          </w:p>
        </w:tc>
      </w:tr>
    </w:tbl>
    <w:p>
      <w:pPr>
        <w:spacing w:after="120"/>
      </w:pPr>
    </w:p>
    <w:p>
      <w:pPr>
        <w:keepNext/>
        <w:pBdr>
          <w:bottom w:val="single" w:color="0f7ea3" w:sz="6" w:space="2"/>
        </w:pBdr>
        <w:spacing w:after="100" w:before="280"/>
      </w:pPr>
      <w:r>
        <w:rPr>
          <w:rFonts w:ascii="Arial" w:cs="Arial" w:eastAsia="Arial" w:hAnsi="Arial"/>
          <w:b/>
          <w:bCs/>
          <w:color w:val="0f7ea3"/>
          <w:sz w:val="26"/>
          <w:szCs w:val="26"/>
        </w:rPr>
        <w:t xml:space="preserve">Part A. Who could step in?</w:t>
      </w:r>
    </w:p>
    <w:p>
      <w:pPr>
        <w:spacing w:after="120"/>
      </w:pPr>
      <w:r>
        <w:rPr>
          <w:rFonts w:ascii="Arial" w:cs="Arial" w:eastAsia="Arial" w:hAnsi="Arial"/>
          <w:color w:val="374151"/>
          <w:sz w:val="20"/>
          <w:szCs w:val="20"/>
        </w:rPr>
        <w:t xml:space="preserve">For each top-three service, name who does it now and who would cover. Use job titles, not just names, so the answer still holds when people change jobs. Then be honest about the last column.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16"/>
        <w:gridCol w:w="1814"/>
        <w:gridCol w:w="1814"/>
        <w:gridCol w:w="1814"/>
        <w:gridCol w:w="2621"/>
      </w:tblGrid>
      <w:tr>
        <w:trPr>
          <w:cantSplit/>
          <w:tblHeader/>
        </w:trPr>
        <w:tc>
          <w:tcPr>
            <w:tcW w:type="dxa" w:w="201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Service</w:t>
            </w:r>
          </w:p>
        </w:tc>
        <w:tc>
          <w:tcPr>
            <w:tcW w:type="dxa" w:w="1814"/>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Who does it now (role)</w:t>
            </w:r>
          </w:p>
        </w:tc>
        <w:tc>
          <w:tcPr>
            <w:tcW w:type="dxa" w:w="1814"/>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Who could step in</w:t>
            </w:r>
          </w:p>
        </w:tc>
        <w:tc>
          <w:tcPr>
            <w:tcW w:type="dxa" w:w="1814"/>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Could they do it tomorrow without calling you?</w:t>
            </w:r>
          </w:p>
        </w:tc>
        <w:tc>
          <w:tcPr>
            <w:tcW w:type="dxa" w:w="2621"/>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What would they need?</w:t>
            </w:r>
          </w:p>
        </w:tc>
      </w:tr>
      <w:tr>
        <w:trPr>
          <w:cantSplit/>
        </w:trPr>
        <w:tc>
          <w:tcPr>
            <w:tcW w:type="dxa" w:w="2016"/>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Example: EOC mapping</w:t>
            </w:r>
          </w:p>
        </w:tc>
        <w:tc>
          <w:tcPr>
            <w:tcW w:type="dxa" w:w="1814"/>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GIS Analyst II</w:t>
            </w:r>
          </w:p>
        </w:tc>
        <w:tc>
          <w:tcPr>
            <w:tcW w:type="dxa" w:w="1814"/>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GIS Analyst I</w:t>
            </w:r>
          </w:p>
        </w:tc>
        <w:tc>
          <w:tcPr>
            <w:tcW w:type="dxa" w:w="1814"/>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Partly</w:t>
            </w:r>
          </w:p>
        </w:tc>
        <w:tc>
          <w:tcPr>
            <w:tcW w:type="dxa" w:w="2621"/>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Written steps; ArcGIS Online admin rights; the EOC map template</w:t>
            </w:r>
          </w:p>
        </w:tc>
      </w:tr>
      <w:tr>
        <w:trPr>
          <w:cantSplit/>
          <w:trHeight w:val="760" w:hRule="atLeast"/>
        </w:trPr>
        <w:tc>
          <w:tcPr>
            <w:tcW w:type="dxa" w:w="201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621"/>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760" w:hRule="atLeast"/>
        </w:trPr>
        <w:tc>
          <w:tcPr>
            <w:tcW w:type="dxa" w:w="201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621"/>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760" w:hRule="atLeast"/>
        </w:trPr>
        <w:tc>
          <w:tcPr>
            <w:tcW w:type="dxa" w:w="201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621"/>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spacing w:after="120"/>
      </w:pPr>
      <w:r>
        <w:rPr>
          <w:rFonts w:ascii="Arial" w:cs="Arial" w:eastAsia="Arial" w:hAnsi="Arial"/>
          <w:i/>
          <w:iCs/>
          <w:color w:val="6b7280"/>
          <w:sz w:val="18"/>
          <w:szCs w:val="18"/>
        </w:rPr>
        <w:t xml:space="preserve">Answer Yes, Partly or No. "Partly" and "No" are useful answers. They tell you where to start.</w:t>
      </w:r>
    </w:p>
    <w:p>
      <w:pPr>
        <w:keepNext/>
        <w:pBdr>
          <w:bottom w:val="single" w:color="0f7ea3" w:sz="6" w:space="2"/>
        </w:pBdr>
        <w:spacing w:after="100" w:before="280"/>
      </w:pPr>
      <w:r>
        <w:rPr>
          <w:rFonts w:ascii="Arial" w:cs="Arial" w:eastAsia="Arial" w:hAnsi="Arial"/>
          <w:b/>
          <w:bCs/>
          <w:color w:val="0f7ea3"/>
          <w:sz w:val="26"/>
          <w:szCs w:val="26"/>
        </w:rPr>
        <w:t xml:space="preserve">Part B. Where is it?</w:t>
      </w:r>
    </w:p>
    <w:p>
      <w:pPr>
        <w:spacing w:after="120"/>
      </w:pPr>
      <w:r>
        <w:rPr>
          <w:rFonts w:ascii="Arial" w:cs="Arial" w:eastAsia="Arial" w:hAnsi="Arial"/>
          <w:color w:val="374151"/>
          <w:sz w:val="20"/>
          <w:szCs w:val="20"/>
        </w:rPr>
        <w:t xml:space="preserve">Your backup can only step in if they can find what they need. For each item, write where it is today and whether someone else could reach it during a network or power outage.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0f7ea3" w:sz="24"/>
              <w:bottom w:val="none" w:color="FFFFFF" w:sz="0"/>
              <w:right w:val="none" w:color="FFFFFF" w:sz="0"/>
            </w:tcBorders>
            <w:shd w:fill="eef6fa" w:color="eef6fa" w:val="clear"/>
            <w:tcMar>
              <w:top w:type="dxa" w:w="100"/>
              <w:left w:type="dxa" w:w="180"/>
              <w:bottom w:type="dxa" w:w="100"/>
              <w:right w:type="dxa" w:w="180"/>
            </w:tcMar>
          </w:tcPr>
          <w:p>
            <w:pPr>
              <w:spacing w:after="60"/>
            </w:pPr>
            <w:r>
              <w:rPr>
                <w:rFonts w:ascii="Arial" w:cs="Arial" w:eastAsia="Arial" w:hAnsi="Arial"/>
                <w:b/>
                <w:bCs/>
                <w:color w:val="1e3a5f"/>
                <w:sz w:val="20"/>
                <w:szCs w:val="20"/>
              </w:rPr>
              <w:t xml:space="preserve">Do not write passwords on this sheet</w:t>
            </w:r>
          </w:p>
          <w:p>
            <w:pPr>
              <w:spacing w:after="60"/>
            </w:pPr>
            <w:r>
              <w:rPr>
                <w:rFonts w:ascii="Arial" w:cs="Arial" w:eastAsia="Arial" w:hAnsi="Arial"/>
                <w:color w:val="374151"/>
                <w:sz w:val="19"/>
                <w:szCs w:val="19"/>
              </w:rPr>
              <w:t xml:space="preserve">Write down where credentials are kept (for example, "IT password manager" or "sealed envelope in the IT safe"). Never the passwords themselves.</w:t>
            </w:r>
          </w:p>
        </w:tc>
      </w:tr>
    </w:tbl>
    <w:p>
      <w:pPr>
        <w:spacing w:after="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427"/>
        <w:gridCol w:w="3427"/>
        <w:gridCol w:w="1613"/>
        <w:gridCol w:w="1613"/>
      </w:tblGrid>
      <w:tr>
        <w:trPr>
          <w:cantSplit/>
          <w:tblHeader/>
        </w:trPr>
        <w:tc>
          <w:tcPr>
            <w:tcW w:type="dxa" w:w="3427"/>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Item</w:t>
            </w:r>
          </w:p>
        </w:tc>
        <w:tc>
          <w:tcPr>
            <w:tcW w:type="dxa" w:w="3427"/>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Where it is today</w:t>
            </w:r>
          </w:p>
        </w:tc>
        <w:tc>
          <w:tcPr>
            <w:tcW w:type="dxa" w:w="1613"/>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Does someone else know?</w:t>
            </w:r>
          </w:p>
        </w:tc>
        <w:tc>
          <w:tcPr>
            <w:tcW w:type="dxa" w:w="1613"/>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Reachable with no network?</w:t>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Admin sign-ins for ArcGIS Online, ArcGIS Enterprise or other GIS platforms</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Software license details and support contract numbers</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Written step-by-step instructions for your top three services</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Contact list: GIS staff, IT, your emergency management contact, vendors</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Offline copies of your most important data layers</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Map templates and saved projects you use in emergencies</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Where to work if the GIS office is closed</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Other:</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spacing w:after="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0f7ea3" w:sz="24"/>
              <w:bottom w:val="none" w:color="FFFFFF" w:sz="0"/>
              <w:right w:val="none" w:color="FFFFFF" w:sz="0"/>
            </w:tcBorders>
            <w:shd w:fill="eef6fa" w:color="eef6fa" w:val="clear"/>
            <w:tcMar>
              <w:top w:type="dxa" w:w="100"/>
              <w:left w:type="dxa" w:w="180"/>
              <w:bottom w:type="dxa" w:w="100"/>
              <w:right w:type="dxa" w:w="180"/>
            </w:tcMar>
          </w:tcPr>
          <w:p>
            <w:pPr>
              <w:spacing w:after="60"/>
            </w:pPr>
            <w:r>
              <w:rPr>
                <w:rFonts w:ascii="Arial" w:cs="Arial" w:eastAsia="Arial" w:hAnsi="Arial"/>
                <w:b/>
                <w:bCs/>
                <w:color w:val="1e3a5f"/>
                <w:sz w:val="20"/>
                <w:szCs w:val="20"/>
              </w:rPr>
              <w:t xml:space="preserve">Bring this forward</w:t>
            </w:r>
          </w:p>
          <w:p>
            <w:pPr>
              <w:spacing w:after="60"/>
            </w:pPr>
            <w:r>
              <w:rPr>
                <w:rFonts w:ascii="Arial" w:cs="Arial" w:eastAsia="Arial" w:hAnsi="Arial"/>
                <w:color w:val="374151"/>
                <w:sz w:val="19"/>
                <w:szCs w:val="19"/>
              </w:rPr>
              <w:t xml:space="preserve">Any "No" in Part A or Part B is a good candidate for your 30-day plan in Worksheet 4.</w:t>
            </w:r>
          </w:p>
        </w:tc>
      </w:tr>
    </w:tbl>
    <w:p>
      <w:pPr>
        <w:sectPr>
          <w:footerReference w:type="default" r:id="rId9"/>
          <w:pgSz w:w="12240" w:h="15840" w:orient="portrait"/>
          <w:pgMar w:top="1080" w:right="1080" w:bottom="1080" w:left="1080" w:header="708" w:footer="708" w:gutter="0"/>
          <w:pgNumType/>
          <w:docGrid w:linePitch="360"/>
        </w:sectPr>
      </w:pPr>
    </w:p>
    <w:p>
      <w:pPr>
        <w:spacing w:after="60"/>
      </w:pPr>
      <w:r>
        <w:rPr>
          <w:rFonts w:ascii="Arial" w:cs="Arial" w:eastAsia="Arial" w:hAnsi="Arial"/>
          <w:b/>
          <w:bCs/>
          <w:color w:val="0f7ea3"/>
          <w:spacing w:val="20"/>
          <w:sz w:val="16"/>
          <w:szCs w:val="16"/>
        </w:rPr>
        <w:t xml:space="preserve">CONTINUITY STARTER WORKSHEET 4 OF 4</w:t>
      </w:r>
    </w:p>
    <w:p>
      <w:pPr>
        <w:spacing w:after="120"/>
      </w:pPr>
      <w:r>
        <w:rPr>
          <w:rFonts w:ascii="Arial" w:cs="Arial" w:eastAsia="Arial" w:hAnsi="Arial"/>
          <w:b/>
          <w:bCs/>
          <w:color w:val="1e3a5f"/>
          <w:sz w:val="40"/>
          <w:szCs w:val="40"/>
        </w:rPr>
        <w:t xml:space="preserve">Your Next 30 Days</w:t>
      </w:r>
    </w:p>
    <w:p>
      <w:pPr>
        <w:spacing w:after="160"/>
      </w:pPr>
      <w:r>
        <w:rPr>
          <w:rFonts w:ascii="Arial" w:cs="Arial" w:eastAsia="Arial" w:hAnsi="Arial"/>
          <w:b/>
          <w:bCs/>
          <w:color w:val="374151"/>
          <w:sz w:val="20"/>
          <w:szCs w:val="20"/>
        </w:rPr>
        <w:t xml:space="preserve">Time: </w:t>
      </w:r>
      <w:r>
        <w:rPr>
          <w:rFonts w:ascii="Arial" w:cs="Arial" w:eastAsia="Arial" w:hAnsi="Arial"/>
          <w:color w:val="374151"/>
          <w:sz w:val="20"/>
          <w:szCs w:val="20"/>
        </w:rPr>
        <w:t xml:space="preserve">About 15 minutes</w:t>
      </w:r>
      <w:r>
        <w:rPr>
          <w:rFonts w:ascii="Arial" w:cs="Arial" w:eastAsia="Arial" w:hAnsi="Arial"/>
          <w:b/>
          <w:bCs/>
          <w:color w:val="374151"/>
          <w:sz w:val="20"/>
          <w:szCs w:val="20"/>
        </w:rPr>
        <w:t xml:space="preserve">     Who to involve: </w:t>
      </w:r>
      <w:r>
        <w:rPr>
          <w:rFonts w:ascii="Arial" w:cs="Arial" w:eastAsia="Arial" w:hAnsi="Arial"/>
          <w:color w:val="374151"/>
          <w:sz w:val="20"/>
          <w:szCs w:val="20"/>
        </w:rPr>
        <w:t xml:space="preserve">You, then your supervisor and your emergency manager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0f7ea3" w:sz="24"/>
              <w:bottom w:val="none" w:color="FFFFFF" w:sz="0"/>
              <w:right w:val="none" w:color="FFFFFF" w:sz="0"/>
            </w:tcBorders>
            <w:shd w:fill="eef6fa" w:color="eef6fa" w:val="clear"/>
            <w:tcMar>
              <w:top w:type="dxa" w:w="100"/>
              <w:left w:type="dxa" w:w="180"/>
              <w:bottom w:type="dxa" w:w="100"/>
              <w:right w:type="dxa" w:w="180"/>
            </w:tcMar>
          </w:tcPr>
          <w:p>
            <w:pPr>
              <w:spacing w:after="60"/>
            </w:pPr>
            <w:r>
              <w:rPr>
                <w:rFonts w:ascii="Arial" w:cs="Arial" w:eastAsia="Arial" w:hAnsi="Arial"/>
                <w:b/>
                <w:bCs/>
                <w:color w:val="1e3a5f"/>
                <w:sz w:val="20"/>
                <w:szCs w:val="20"/>
              </w:rPr>
              <w:t xml:space="preserve">Why this matters</w:t>
            </w:r>
          </w:p>
          <w:p>
            <w:pPr>
              <w:spacing w:after="60"/>
            </w:pPr>
            <w:r>
              <w:rPr>
                <w:rFonts w:ascii="Arial" w:cs="Arial" w:eastAsia="Arial" w:hAnsi="Arial"/>
                <w:color w:val="374151"/>
                <w:sz w:val="19"/>
                <w:szCs w:val="19"/>
              </w:rPr>
              <w:t xml:space="preserve">A continuity plan is built one small step at a time. You do not need a finished plan to make your team safer. Three concrete steps in the next 30 days is a strong start.</w:t>
            </w:r>
          </w:p>
        </w:tc>
      </w:tr>
    </w:tbl>
    <w:p>
      <w:pPr>
        <w:spacing w:after="120"/>
      </w:pPr>
    </w:p>
    <w:p>
      <w:pPr>
        <w:keepNext/>
        <w:pBdr>
          <w:bottom w:val="single" w:color="0f7ea3" w:sz="6" w:space="2"/>
        </w:pBdr>
        <w:spacing w:after="100" w:before="280"/>
      </w:pPr>
      <w:r>
        <w:rPr>
          <w:rFonts w:ascii="Arial" w:cs="Arial" w:eastAsia="Arial" w:hAnsi="Arial"/>
          <w:b/>
          <w:bCs/>
          <w:color w:val="0f7ea3"/>
          <w:sz w:val="26"/>
          <w:szCs w:val="26"/>
        </w:rPr>
        <w:t xml:space="preserve">Step 1. Pick three first steps</w:t>
      </w:r>
    </w:p>
    <w:p>
      <w:pPr>
        <w:spacing w:after="120"/>
      </w:pPr>
      <w:r>
        <w:rPr>
          <w:rFonts w:ascii="Arial" w:cs="Arial" w:eastAsia="Arial" w:hAnsi="Arial"/>
          <w:color w:val="374151"/>
          <w:sz w:val="20"/>
          <w:szCs w:val="20"/>
        </w:rPr>
        <w:t xml:space="preserve">Look back at the gaps you found in Worksheets 2 and 3. Choose three steps you can finish in 30 days. Small and done beats big and planned. Need ideas? See the list below.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4637"/>
        <w:gridCol w:w="2016"/>
        <w:gridCol w:w="1613"/>
        <w:gridCol w:w="1210"/>
      </w:tblGrid>
      <w:tr>
        <w:trPr>
          <w:cantSplit/>
          <w:tblHeader/>
        </w:trPr>
        <w:tc>
          <w:tcPr>
            <w:tcW w:type="dxa" w:w="605"/>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t>
            </w:r>
          </w:p>
        </w:tc>
        <w:tc>
          <w:tcPr>
            <w:tcW w:type="dxa" w:w="4637"/>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First step</w:t>
            </w:r>
          </w:p>
        </w:tc>
        <w:tc>
          <w:tcPr>
            <w:tcW w:type="dxa" w:w="201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Who will do it</w:t>
            </w:r>
          </w:p>
        </w:tc>
        <w:tc>
          <w:tcPr>
            <w:tcW w:type="dxa" w:w="1613"/>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Done by (date)</w:t>
            </w:r>
          </w:p>
        </w:tc>
        <w:tc>
          <w:tcPr>
            <w:tcW w:type="dxa" w:w="1210"/>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Done?</w:t>
            </w:r>
          </w:p>
        </w:tc>
      </w:tr>
      <w:tr>
        <w:trPr>
          <w:cantSplit/>
        </w:trPr>
        <w:tc>
          <w:tcPr>
            <w:tcW w:type="dxa" w:w="605"/>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
            </w:r>
          </w:p>
        </w:tc>
        <w:tc>
          <w:tcPr>
            <w:tcW w:type="dxa" w:w="4637"/>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Example: Cross-train GIS Analyst I on building the EOC situation map</w:t>
            </w:r>
          </w:p>
        </w:tc>
        <w:tc>
          <w:tcPr>
            <w:tcW w:type="dxa" w:w="2016"/>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GIS Analyst II</w:t>
            </w:r>
          </w:p>
        </w:tc>
        <w:tc>
          <w:tcPr>
            <w:tcW w:type="dxa" w:w="1613"/>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Nov 15</w:t>
            </w:r>
          </w:p>
        </w:tc>
        <w:tc>
          <w:tcPr>
            <w:tcW w:type="dxa" w:w="1210"/>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
            </w:r>
          </w:p>
        </w:tc>
      </w:tr>
      <w:tr>
        <w:trPr>
          <w:cantSplit/>
          <w:trHeight w:val="760" w:hRule="atLeast"/>
        </w:trPr>
        <w:tc>
          <w:tcPr>
            <w:tcW w:type="dxa" w:w="605"/>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463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01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760" w:hRule="atLeast"/>
        </w:trPr>
        <w:tc>
          <w:tcPr>
            <w:tcW w:type="dxa" w:w="605"/>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463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01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760" w:hRule="atLeast"/>
        </w:trPr>
        <w:tc>
          <w:tcPr>
            <w:tcW w:type="dxa" w:w="605"/>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463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01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210"/>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keepNext/>
        <w:spacing w:after="80" w:before="200"/>
      </w:pPr>
      <w:r>
        <w:rPr>
          <w:rFonts w:ascii="Arial" w:cs="Arial" w:eastAsia="Arial" w:hAnsi="Arial"/>
          <w:b/>
          <w:bCs/>
          <w:color w:val="1e3a5f"/>
          <w:sz w:val="22"/>
          <w:szCs w:val="22"/>
        </w:rPr>
        <w:t xml:space="preserve">Ideas for first steps</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Meet with your emergency manager (see Step 2).</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Cross-train one person on your most critical service.</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Write a one-page "how to" for your most critical service.</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Download offline copies of your most important layers and note where they are stored.</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Print your contact list and keep a copy somewhere other than the GIS office.</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Confirm where admin sign-ins are kept and that a second person can get to them.</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Make sure a backup laptop has working GIS software and a license.</w:t>
      </w:r>
    </w:p>
    <w:p>
      <w:pPr>
        <w:spacing w:after="80"/>
        <w:ind w:left="200"/>
      </w:pPr>
      <w:r>
        <w:rPr>
          <w:rFonts w:ascii="Arial" w:cs="Arial" w:eastAsia="Arial" w:hAnsi="Arial"/>
          <w:color w:val="374151"/>
          <w:sz w:val="22"/>
          <w:szCs w:val="22"/>
        </w:rPr>
        <w:t xml:space="preserve">☐  </w:t>
      </w:r>
      <w:r>
        <w:rPr>
          <w:rFonts w:ascii="Arial" w:cs="Arial" w:eastAsia="Arial" w:hAnsi="Arial"/>
          <w:color w:val="374151"/>
          <w:sz w:val="20"/>
          <w:szCs w:val="20"/>
        </w:rPr>
        <w:t xml:space="preserve">Agree on where GIS staff will work if the office is closed.</w:t>
      </w:r>
    </w:p>
    <w:p>
      <w:pPr>
        <w:keepNext/>
        <w:pBdr>
          <w:bottom w:val="single" w:color="0f7ea3" w:sz="6" w:space="2"/>
        </w:pBdr>
        <w:spacing w:after="100" w:before="280"/>
      </w:pPr>
      <w:r>
        <w:rPr>
          <w:rFonts w:ascii="Arial" w:cs="Arial" w:eastAsia="Arial" w:hAnsi="Arial"/>
          <w:b/>
          <w:bCs/>
          <w:color w:val="0f7ea3"/>
          <w:sz w:val="26"/>
          <w:szCs w:val="26"/>
        </w:rPr>
        <w:t xml:space="preserve">Step 2. Talk to your emergency manager</w:t>
      </w:r>
    </w:p>
    <w:p>
      <w:pPr>
        <w:spacing w:after="120"/>
      </w:pPr>
      <w:r>
        <w:rPr>
          <w:rFonts w:ascii="Arial" w:cs="Arial" w:eastAsia="Arial" w:hAnsi="Arial"/>
          <w:color w:val="374151"/>
          <w:sz w:val="20"/>
          <w:szCs w:val="20"/>
        </w:rPr>
        <w:t xml:space="preserve">Your agency may already have a continuity of operations (COOP) plan. GIS should have a place in it. Bring these worksheets to a short meeting and ask:</w:t>
      </w:r>
    </w:p>
    <w:p>
      <w:pPr>
        <w:pStyle w:val="ListParagraph"/>
        <w:numPr>
          <w:ilvl w:val="0"/>
          <w:numId w:val="1"/>
        </w:numPr>
        <w:spacing w:after="60"/>
      </w:pPr>
      <w:r>
        <w:rPr>
          <w:rFonts w:ascii="Arial" w:cs="Arial" w:eastAsia="Arial" w:hAnsi="Arial"/>
          <w:color w:val="374151"/>
          <w:sz w:val="20"/>
          <w:szCs w:val="20"/>
        </w:rPr>
        <w:t xml:space="preserve">Does our agency have a COOP plan? Is GIS in it?</w:t>
      </w:r>
    </w:p>
    <w:p>
      <w:pPr>
        <w:pStyle w:val="ListParagraph"/>
        <w:numPr>
          <w:ilvl w:val="0"/>
          <w:numId w:val="1"/>
        </w:numPr>
        <w:spacing w:after="60"/>
      </w:pPr>
      <w:r>
        <w:rPr>
          <w:rFonts w:ascii="Arial" w:cs="Arial" w:eastAsia="Arial" w:hAnsi="Arial"/>
          <w:color w:val="374151"/>
          <w:sz w:val="20"/>
          <w:szCs w:val="20"/>
        </w:rPr>
        <w:t xml:space="preserve">What does emergency management expect from GIS in the first 24 hours of an event?</w:t>
      </w:r>
    </w:p>
    <w:p>
      <w:pPr>
        <w:pStyle w:val="ListParagraph"/>
        <w:numPr>
          <w:ilvl w:val="0"/>
          <w:numId w:val="1"/>
        </w:numPr>
        <w:spacing w:after="60"/>
      </w:pPr>
      <w:r>
        <w:rPr>
          <w:rFonts w:ascii="Arial" w:cs="Arial" w:eastAsia="Arial" w:hAnsi="Arial"/>
          <w:color w:val="374151"/>
          <w:sz w:val="20"/>
          <w:szCs w:val="20"/>
        </w:rPr>
        <w:t xml:space="preserve">Do you agree with our top three services? Did we miss anything?</w:t>
      </w:r>
    </w:p>
    <w:p>
      <w:pPr>
        <w:pStyle w:val="ListParagraph"/>
        <w:numPr>
          <w:ilvl w:val="0"/>
          <w:numId w:val="1"/>
        </w:numPr>
        <w:spacing w:after="60"/>
      </w:pPr>
      <w:r>
        <w:rPr>
          <w:rFonts w:ascii="Arial" w:cs="Arial" w:eastAsia="Arial" w:hAnsi="Arial"/>
          <w:color w:val="374151"/>
          <w:sz w:val="20"/>
          <w:szCs w:val="20"/>
        </w:rPr>
        <w:t xml:space="preserve">Where would GIS staff work if our office were closed?</w:t>
      </w:r>
    </w:p>
    <w:p>
      <w:pPr>
        <w:pStyle w:val="ListParagraph"/>
        <w:numPr>
          <w:ilvl w:val="0"/>
          <w:numId w:val="1"/>
        </w:numPr>
        <w:spacing w:after="60"/>
      </w:pPr>
      <w:r>
        <w:rPr>
          <w:rFonts w:ascii="Arial" w:cs="Arial" w:eastAsia="Arial" w:hAnsi="Arial"/>
          <w:color w:val="374151"/>
          <w:sz w:val="20"/>
          <w:szCs w:val="20"/>
        </w:rPr>
        <w:t xml:space="preserve">Who should we coordinate with in IT and in neighboring agencies?</w:t>
      </w:r>
    </w:p>
    <w:p>
      <w:pPr>
        <w:spacing w:after="120"/>
      </w:pPr>
    </w:p>
    <w:p>
      <w:pPr>
        <w:keepNext/>
        <w:spacing w:after="120"/>
      </w:pPr>
      <w:r>
        <w:rPr>
          <w:rFonts w:ascii="Arial" w:cs="Arial" w:eastAsia="Arial" w:hAnsi="Arial"/>
          <w:b/>
          <w:bCs/>
          <w:color w:val="374151"/>
          <w:sz w:val="20"/>
          <w:szCs w:val="20"/>
        </w:rPr>
        <w:t xml:space="preserve">Who I will meet with: </w:t>
      </w:r>
    </w:p>
    <w:p>
      <w:pPr>
        <w:pBdr>
          <w:bottom w:val="single" w:color="cbd5e1" w:sz="4" w:space="1"/>
        </w:pBdr>
        <w:spacing w:after="60" w:before="200"/>
      </w:pPr>
      <w:r>
        <w:rPr>
          <w:rFonts w:ascii="Arial" w:cs="Arial" w:eastAsia="Arial" w:hAnsi="Arial"/>
          <w:color w:val="374151"/>
          <w:sz w:val="20"/>
          <w:szCs w:val="20"/>
        </w:rPr>
        <w:t xml:space="preserve"> </w:t>
      </w:r>
    </w:p>
    <w:p>
      <w:pPr>
        <w:keepNext/>
        <w:spacing w:after="120"/>
      </w:pPr>
      <w:r>
        <w:rPr>
          <w:rFonts w:ascii="Arial" w:cs="Arial" w:eastAsia="Arial" w:hAnsi="Arial"/>
          <w:b/>
          <w:bCs/>
          <w:color w:val="374151"/>
          <w:sz w:val="20"/>
          <w:szCs w:val="20"/>
        </w:rPr>
        <w:t xml:space="preserve">When: </w:t>
      </w:r>
    </w:p>
    <w:p>
      <w:pPr>
        <w:pBdr>
          <w:bottom w:val="single" w:color="cbd5e1" w:sz="4" w:space="1"/>
        </w:pBdr>
        <w:spacing w:after="60" w:before="200"/>
      </w:pPr>
      <w:r>
        <w:rPr>
          <w:rFonts w:ascii="Arial" w:cs="Arial" w:eastAsia="Arial" w:hAnsi="Arial"/>
          <w:color w:val="374151"/>
          <w:sz w:val="20"/>
          <w:szCs w:val="20"/>
        </w:rPr>
        <w:t xml:space="preserve"> </w:t>
      </w:r>
    </w:p>
    <w:p>
      <w:pPr>
        <w:keepNext/>
        <w:spacing w:after="120"/>
      </w:pPr>
      <w:r>
        <w:rPr>
          <w:rFonts w:ascii="Arial" w:cs="Arial" w:eastAsia="Arial" w:hAnsi="Arial"/>
          <w:b/>
          <w:bCs/>
          <w:color w:val="374151"/>
          <w:sz w:val="20"/>
          <w:szCs w:val="20"/>
        </w:rPr>
        <w:t xml:space="preserve">What I learned: </w:t>
      </w:r>
    </w:p>
    <w:p>
      <w:pPr>
        <w:pBdr>
          <w:bottom w:val="single" w:color="cbd5e1" w:sz="4" w:space="1"/>
        </w:pBdr>
        <w:spacing w:after="60" w:before="200"/>
      </w:pPr>
      <w:r>
        <w:rPr>
          <w:rFonts w:ascii="Arial" w:cs="Arial" w:eastAsia="Arial" w:hAnsi="Arial"/>
          <w:color w:val="374151"/>
          <w:sz w:val="20"/>
          <w:szCs w:val="20"/>
        </w:rPr>
        <w:t xml:space="preserve"> </w:t>
      </w:r>
    </w:p>
    <w:p>
      <w:pPr>
        <w:pBdr>
          <w:bottom w:val="single" w:color="cbd5e1" w:sz="4" w:space="1"/>
        </w:pBdr>
        <w:spacing w:after="60" w:before="200"/>
      </w:pPr>
      <w:r>
        <w:rPr>
          <w:rFonts w:ascii="Arial" w:cs="Arial" w:eastAsia="Arial" w:hAnsi="Arial"/>
          <w:color w:val="374151"/>
          <w:sz w:val="20"/>
          <w:szCs w:val="20"/>
        </w:rPr>
        <w:t xml:space="preserve"> </w:t>
      </w:r>
    </w:p>
    <w:p>
      <w:pPr>
        <w:pBdr>
          <w:bottom w:val="single" w:color="cbd5e1" w:sz="4" w:space="1"/>
        </w:pBdr>
        <w:spacing w:after="60" w:before="200"/>
      </w:pPr>
      <w:r>
        <w:rPr>
          <w:rFonts w:ascii="Arial" w:cs="Arial" w:eastAsia="Arial" w:hAnsi="Arial"/>
          <w:color w:val="374151"/>
          <w:sz w:val="20"/>
          <w:szCs w:val="20"/>
        </w:rPr>
        <w:t xml:space="preserve"> </w:t>
      </w:r>
    </w:p>
    <w:p>
      <w:pPr>
        <w:pBdr>
          <w:bottom w:val="single" w:color="cbd5e1" w:sz="4" w:space="1"/>
        </w:pBdr>
        <w:spacing w:after="60" w:before="200"/>
      </w:pPr>
      <w:r>
        <w:rPr>
          <w:rFonts w:ascii="Arial" w:cs="Arial" w:eastAsia="Arial" w:hAnsi="Arial"/>
          <w:color w:val="374151"/>
          <w:sz w:val="20"/>
          <w:szCs w:val="20"/>
        </w:rPr>
        <w:t xml:space="preserve"> </w:t>
      </w:r>
    </w:p>
    <w:p>
      <w:pPr>
        <w:keepNext/>
        <w:pBdr>
          <w:bottom w:val="single" w:color="0f7ea3" w:sz="6" w:space="2"/>
        </w:pBdr>
        <w:spacing w:after="100" w:before="280"/>
      </w:pPr>
      <w:r>
        <w:rPr>
          <w:rFonts w:ascii="Arial" w:cs="Arial" w:eastAsia="Arial" w:hAnsi="Arial"/>
          <w:b/>
          <w:bCs/>
          <w:color w:val="0f7ea3"/>
          <w:sz w:val="26"/>
          <w:szCs w:val="26"/>
        </w:rPr>
        <w:t xml:space="preserve">Where to go next</w:t>
      </w:r>
    </w:p>
    <w:p>
      <w:pPr>
        <w:spacing w:after="120"/>
      </w:pPr>
      <w:r>
        <w:rPr>
          <w:rFonts w:ascii="Arial" w:cs="Arial" w:eastAsia="Arial" w:hAnsi="Arial"/>
          <w:color w:val="374151"/>
          <w:sz w:val="20"/>
          <w:szCs w:val="20"/>
        </w:rPr>
        <w:t xml:space="preserve">These four worksheets cover the basics: what can’t stop, what it depends on, and who can step in. A complete continuity plan goes further. It also covers risk assessment, how the plan is activated, alternate work sites, what happens if the whole team is unavailable, and regular training and exercises.</w:t>
      </w:r>
    </w:p>
    <w:p>
      <w:pPr>
        <w:spacing w:after="120"/>
      </w:pPr>
      <w:r>
        <w:rPr>
          <w:rFonts w:ascii="Arial" w:cs="Arial" w:eastAsia="Arial" w:hAnsi="Arial"/>
          <w:color w:val="374151"/>
          <w:sz w:val="20"/>
          <w:szCs w:val="20"/>
        </w:rPr>
        <w:t xml:space="preserve">Keep your completed worksheets together. They are a strong starting point for your full plan.</w:t>
      </w:r>
    </w:p>
    <w:p>
      <w:pPr>
        <w:spacing w:after="120"/>
      </w:pPr>
      <w:r>
        <w:rPr>
          <w:rFonts w:ascii="Arial" w:cs="Arial" w:eastAsia="Arial" w:hAnsi="Arial"/>
          <w:i/>
          <w:iCs/>
          <w:color w:val="6b7280"/>
          <w:sz w:val="18"/>
          <w:szCs w:val="18"/>
        </w:rPr>
        <w:t xml:space="preserve">Continuity Atlas is a continuity planning tool built for GIS departments that walks you through the rest. Learn more at giscontinuity.com.</w:t>
      </w:r>
    </w:p>
    <w:sectPr>
      <w:footerReference w:type="default" r:id="rId10"/>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Worksheet 1: What Can’t Stop  ·  Continuity Atlas  ·  giscontinuity.com/workshop  ·  Page </w:t>
    </w:r>
    <w:r>
      <w:rPr>
        <w:rFonts w:ascii="Arial" w:cs="Arial" w:eastAsia="Arial" w:hAnsi="Arial"/>
        <w:color w:val="6b728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Worksheet 2: What It Runs On  ·  Continuity Atlas  ·  giscontinuity.com/workshop  ·  Page </w:t>
    </w:r>
    <w:r>
      <w:rPr>
        <w:rFonts w:ascii="Arial" w:cs="Arial" w:eastAsia="Arial" w:hAnsi="Arial"/>
        <w:color w:val="6b7280"/>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Worksheet 3: If You’re Out Tomorrow  ·  Continuity Atlas  ·  giscontinuity.com/workshop  ·  Page </w:t>
    </w:r>
    <w:r>
      <w:rPr>
        <w:rFonts w:ascii="Arial" w:cs="Arial" w:eastAsia="Arial" w:hAnsi="Arial"/>
        <w:color w:val="6b7280"/>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Worksheet 4: Your Next 30 Days  ·  Continuity Atlas  ·  giscontinuity.com/workshop  ·  Page </w:t>
    </w:r>
    <w:r>
      <w:rPr>
        <w:rFonts w:ascii="Arial" w:cs="Arial" w:eastAsia="Arial" w:hAnsi="Arial"/>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Continuity Starter Packet</dc:title>
  <dc:creator>Continuity Atlas</dc:creator>
  <dc:description>Free continuity starter worksheets for GIS teams</dc:description>
  <cp:lastModifiedBy>Un-named</cp:lastModifiedBy>
  <cp:revision>1</cp:revision>
  <dcterms:created xsi:type="dcterms:W3CDTF">2026-10-12T14:27:10.508Z</dcterms:created>
  <dcterms:modified xsi:type="dcterms:W3CDTF">2026-10-12T14:27:10.508Z</dcterms:modified>
</cp:coreProperties>
</file>

<file path=docProps/custom.xml><?xml version="1.0" encoding="utf-8"?>
<Properties xmlns="http://schemas.openxmlformats.org/officeDocument/2006/custom-properties" xmlns:vt="http://schemas.openxmlformats.org/officeDocument/2006/docPropsVTypes"/>
</file>